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Manitoba Human Rights Code.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Ancestry, including race and colour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Sex, including pregnancy and gender identity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Gender-determined characteristics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or family status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Source of income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Political belief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Physical or mental disability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Disadvantaged social condition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 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also ensure that this right to equal treatment is upheld in the areas of rate of pay, overtime, hours of work, holidays, benefits, shift work, discipline, and performance evaluations. 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an  Intake Officer or file a complaint with the Manitoba Human Rights Commission. [Organization Name] will not retaliate against any employee who has filed a complaint with the Commission or had someone file a complaint on their behalf.     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Bhiamx1Jzkpdqj5ELE0qLOghQ==">CgMxLjAyCWguM3pueXNoNzgAciExb1ZiSkQ4d0lwSHdSTDFQRjR5Njl6R1VCSkVzd0NHRXg=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2022-06-09T19:11:00Z</dcterms:created>
  <dc:creator>Kelly</dc:creator>
</cp:coreProperties>
</file>